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AB6610" w14:textId="462A0BD5" w:rsidR="00E90E49" w:rsidRPr="00C571D4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C571D4">
        <w:rPr>
          <w:lang w:val="en-US"/>
        </w:rPr>
        <w:t>3GPP TSG-RAN WG</w:t>
      </w:r>
      <w:r w:rsidR="00126758" w:rsidRPr="00C571D4">
        <w:rPr>
          <w:lang w:val="en-US"/>
        </w:rPr>
        <w:t>2</w:t>
      </w:r>
      <w:r w:rsidRPr="00C571D4">
        <w:rPr>
          <w:lang w:val="en-US"/>
        </w:rPr>
        <w:t xml:space="preserve"> #</w:t>
      </w:r>
      <w:r w:rsidR="00126758" w:rsidRPr="00C571D4">
        <w:rPr>
          <w:lang w:val="en-US"/>
        </w:rPr>
        <w:t>10</w:t>
      </w:r>
      <w:r w:rsidR="0021785C" w:rsidRPr="00C571D4">
        <w:rPr>
          <w:lang w:val="en-US"/>
        </w:rPr>
        <w:t>7</w:t>
      </w:r>
      <w:r w:rsidRPr="00C571D4">
        <w:rPr>
          <w:lang w:val="en-US"/>
        </w:rPr>
        <w:tab/>
      </w:r>
      <w:r w:rsidR="00EC6381" w:rsidRPr="00EC6381">
        <w:rPr>
          <w:sz w:val="32"/>
          <w:szCs w:val="32"/>
          <w:lang w:val="en-US"/>
        </w:rPr>
        <w:t>R2-1909362</w:t>
      </w:r>
    </w:p>
    <w:p w14:paraId="69772F9A" w14:textId="77777777" w:rsidR="00E90E49" w:rsidRPr="00C571D4" w:rsidRDefault="0021785C" w:rsidP="00311702">
      <w:pPr>
        <w:pStyle w:val="3GPPHeader"/>
        <w:rPr>
          <w:lang w:val="en-US"/>
        </w:rPr>
      </w:pPr>
      <w:r w:rsidRPr="00C571D4">
        <w:rPr>
          <w:lang w:val="en-US"/>
        </w:rPr>
        <w:t>Prague</w:t>
      </w:r>
      <w:r w:rsidR="00EC4447" w:rsidRPr="00C571D4">
        <w:rPr>
          <w:lang w:val="en-US"/>
        </w:rPr>
        <w:t xml:space="preserve">, </w:t>
      </w:r>
      <w:r w:rsidRPr="00C571D4">
        <w:rPr>
          <w:lang w:val="en-US"/>
        </w:rPr>
        <w:t>Czech Republic</w:t>
      </w:r>
      <w:r w:rsidR="00EC4447" w:rsidRPr="00C571D4">
        <w:rPr>
          <w:lang w:val="en-US"/>
        </w:rPr>
        <w:t>,</w:t>
      </w:r>
      <w:r w:rsidR="00126758" w:rsidRPr="00C571D4">
        <w:rPr>
          <w:lang w:val="en-US"/>
        </w:rPr>
        <w:t xml:space="preserve"> </w:t>
      </w:r>
      <w:r w:rsidRPr="00C571D4">
        <w:rPr>
          <w:lang w:val="en-US"/>
        </w:rPr>
        <w:t>26</w:t>
      </w:r>
      <w:r w:rsidR="00EC4447" w:rsidRPr="00C571D4">
        <w:rPr>
          <w:vertAlign w:val="superscript"/>
          <w:lang w:val="en-US"/>
        </w:rPr>
        <w:t>th</w:t>
      </w:r>
      <w:r w:rsidR="00EC4447" w:rsidRPr="00C571D4">
        <w:rPr>
          <w:lang w:val="en-US"/>
        </w:rPr>
        <w:t xml:space="preserve"> – </w:t>
      </w:r>
      <w:r w:rsidRPr="00C571D4">
        <w:rPr>
          <w:lang w:val="en-US"/>
        </w:rPr>
        <w:t>30</w:t>
      </w:r>
      <w:r w:rsidR="00EC4447" w:rsidRPr="00C571D4">
        <w:rPr>
          <w:vertAlign w:val="superscript"/>
          <w:lang w:val="en-US"/>
        </w:rPr>
        <w:t>th</w:t>
      </w:r>
      <w:r w:rsidR="00EC4447" w:rsidRPr="00C571D4">
        <w:rPr>
          <w:lang w:val="en-US"/>
        </w:rPr>
        <w:t xml:space="preserve"> </w:t>
      </w:r>
      <w:r w:rsidRPr="00C571D4">
        <w:rPr>
          <w:lang w:val="en-US"/>
        </w:rPr>
        <w:t xml:space="preserve">August </w:t>
      </w:r>
      <w:r w:rsidR="00126758" w:rsidRPr="00C571D4">
        <w:rPr>
          <w:lang w:val="en-US"/>
        </w:rPr>
        <w:t>2019</w:t>
      </w:r>
    </w:p>
    <w:p w14:paraId="1C6A2534" w14:textId="77777777" w:rsidR="00E90E49" w:rsidRPr="00C571D4" w:rsidRDefault="00E90E49" w:rsidP="00357380">
      <w:pPr>
        <w:pStyle w:val="3GPPHeader"/>
        <w:rPr>
          <w:lang w:val="en-US"/>
        </w:rPr>
      </w:pPr>
    </w:p>
    <w:p w14:paraId="60FA03FA" w14:textId="388923D9" w:rsidR="00D75481" w:rsidRPr="00C571D4" w:rsidRDefault="00D75481" w:rsidP="00D75481">
      <w:pPr>
        <w:pStyle w:val="3GPPHeader"/>
        <w:ind w:left="1701" w:hanging="1701"/>
        <w:rPr>
          <w:rFonts w:cs="Arial"/>
          <w:sz w:val="22"/>
          <w:lang w:val="en-US"/>
        </w:rPr>
      </w:pPr>
      <w:bookmarkStart w:id="0" w:name="_Ref189046994"/>
      <w:r w:rsidRPr="00C571D4">
        <w:rPr>
          <w:rFonts w:cs="Arial"/>
          <w:sz w:val="22"/>
          <w:lang w:val="en-US"/>
        </w:rPr>
        <w:t>Agenda Item:</w:t>
      </w:r>
      <w:r w:rsidRPr="00C571D4">
        <w:rPr>
          <w:rFonts w:cs="Arial"/>
          <w:sz w:val="22"/>
          <w:lang w:val="en-US"/>
        </w:rPr>
        <w:tab/>
        <w:t>11.2.2.</w:t>
      </w:r>
      <w:r w:rsidR="00AB2CCC" w:rsidRPr="00C571D4">
        <w:rPr>
          <w:rFonts w:cs="Arial"/>
          <w:sz w:val="22"/>
          <w:lang w:val="en-US"/>
        </w:rPr>
        <w:t>2</w:t>
      </w:r>
    </w:p>
    <w:p w14:paraId="727787A7" w14:textId="77777777" w:rsidR="00D75481" w:rsidRPr="00C571D4" w:rsidRDefault="00D75481" w:rsidP="00D75481">
      <w:pPr>
        <w:pStyle w:val="3GPPHeader"/>
        <w:rPr>
          <w:rFonts w:cs="Arial"/>
          <w:sz w:val="22"/>
          <w:lang w:val="en-US"/>
        </w:rPr>
      </w:pPr>
      <w:r w:rsidRPr="00C571D4">
        <w:rPr>
          <w:rFonts w:cs="Arial"/>
          <w:sz w:val="22"/>
          <w:lang w:val="en-US"/>
        </w:rPr>
        <w:t>Source:</w:t>
      </w:r>
      <w:r w:rsidRPr="00C571D4">
        <w:rPr>
          <w:rFonts w:cs="Arial"/>
          <w:sz w:val="22"/>
          <w:lang w:val="en-US"/>
        </w:rPr>
        <w:tab/>
        <w:t>Ericsson</w:t>
      </w:r>
    </w:p>
    <w:p w14:paraId="6E9BF8D7" w14:textId="529D5F42" w:rsidR="00D75481" w:rsidRPr="00C571D4" w:rsidRDefault="00D75481" w:rsidP="00D75481">
      <w:pPr>
        <w:pStyle w:val="3GPPHeader"/>
        <w:ind w:left="10206" w:hanging="10206"/>
        <w:rPr>
          <w:rFonts w:cs="Arial"/>
          <w:sz w:val="22"/>
          <w:lang w:val="en-US"/>
        </w:rPr>
      </w:pPr>
      <w:r w:rsidRPr="00C571D4">
        <w:rPr>
          <w:rFonts w:cs="Arial"/>
          <w:sz w:val="22"/>
          <w:lang w:val="en-US"/>
        </w:rPr>
        <w:t>Title:</w:t>
      </w:r>
      <w:r w:rsidRPr="00C571D4">
        <w:rPr>
          <w:rFonts w:cs="Arial"/>
          <w:sz w:val="22"/>
          <w:lang w:val="en-US"/>
        </w:rPr>
        <w:tab/>
      </w:r>
      <w:r w:rsidR="00AB2CCC" w:rsidRPr="00C571D4">
        <w:rPr>
          <w:rFonts w:cs="Arial"/>
          <w:sz w:val="22"/>
          <w:lang w:val="en-US"/>
        </w:rPr>
        <w:t>Connected mode mobility in NR-U</w:t>
      </w:r>
    </w:p>
    <w:p w14:paraId="70A654F3" w14:textId="77777777" w:rsidR="00D75481" w:rsidRPr="00C571D4" w:rsidRDefault="00D75481" w:rsidP="00D75481">
      <w:pPr>
        <w:pStyle w:val="3GPPHeader"/>
        <w:rPr>
          <w:rFonts w:cs="Arial"/>
          <w:sz w:val="22"/>
          <w:lang w:val="en-US"/>
        </w:rPr>
      </w:pPr>
      <w:r w:rsidRPr="00C571D4">
        <w:rPr>
          <w:rFonts w:cs="Arial"/>
          <w:sz w:val="22"/>
          <w:lang w:val="en-US"/>
        </w:rPr>
        <w:t>Document for:</w:t>
      </w:r>
      <w:r w:rsidRPr="00C571D4">
        <w:rPr>
          <w:rFonts w:cs="Arial"/>
          <w:sz w:val="22"/>
          <w:lang w:val="en-US"/>
        </w:rPr>
        <w:tab/>
        <w:t>Discussion, Decision</w:t>
      </w:r>
    </w:p>
    <w:p w14:paraId="16C5E9B8" w14:textId="77777777" w:rsidR="00D75481" w:rsidRPr="00C571D4" w:rsidRDefault="00D75481" w:rsidP="00D75481">
      <w:pPr>
        <w:pStyle w:val="Heading1"/>
        <w:tabs>
          <w:tab w:val="num" w:pos="432"/>
        </w:tabs>
        <w:ind w:left="432" w:hanging="432"/>
        <w:rPr>
          <w:lang w:val="en-US"/>
        </w:rPr>
      </w:pPr>
      <w:bookmarkStart w:id="1" w:name="_Toc4419349"/>
      <w:r w:rsidRPr="00C571D4">
        <w:rPr>
          <w:lang w:val="en-US"/>
        </w:rPr>
        <w:t>Introduction</w:t>
      </w:r>
      <w:bookmarkEnd w:id="1"/>
    </w:p>
    <w:p w14:paraId="397C23AD" w14:textId="7128DE03" w:rsidR="00606178" w:rsidRPr="00606178" w:rsidRDefault="00606178" w:rsidP="00606178">
      <w:pPr>
        <w:spacing w:after="120"/>
        <w:jc w:val="both"/>
        <w:rPr>
          <w:rFonts w:ascii="Arial" w:hAnsi="Arial"/>
          <w:lang w:val="en-US" w:eastAsia="zh-CN"/>
        </w:rPr>
      </w:pPr>
      <w:r w:rsidRPr="00606178">
        <w:rPr>
          <w:rFonts w:ascii="Arial" w:hAnsi="Arial"/>
          <w:lang w:val="en-US" w:eastAsia="zh-CN"/>
        </w:rPr>
        <w:t xml:space="preserve">The WID </w:t>
      </w:r>
      <w:r w:rsidRPr="00606178">
        <w:rPr>
          <w:rFonts w:ascii="Arial" w:hAnsi="Arial"/>
          <w:lang w:val="en-US" w:eastAsia="zh-CN"/>
        </w:rPr>
        <w:fldChar w:fldCharType="begin"/>
      </w:r>
      <w:r w:rsidRPr="00606178">
        <w:rPr>
          <w:rFonts w:ascii="Arial" w:hAnsi="Arial"/>
          <w:lang w:val="en-US" w:eastAsia="zh-CN"/>
        </w:rPr>
        <w:instrText xml:space="preserve"> REF _Ref359373 \n \h </w:instrText>
      </w:r>
      <w:r w:rsidRPr="00606178">
        <w:rPr>
          <w:rFonts w:ascii="Arial" w:hAnsi="Arial"/>
          <w:lang w:val="en-US" w:eastAsia="zh-CN"/>
        </w:rPr>
        <w:fldChar w:fldCharType="separate"/>
      </w:r>
      <w:r w:rsidR="00EC6381">
        <w:rPr>
          <w:rFonts w:ascii="Arial" w:hAnsi="Arial"/>
          <w:b/>
          <w:bCs/>
          <w:lang w:val="en-US" w:eastAsia="zh-CN"/>
        </w:rPr>
        <w:t>Error! Reference source not found.</w:t>
      </w:r>
      <w:r w:rsidRPr="00606178">
        <w:rPr>
          <w:rFonts w:ascii="Arial" w:hAnsi="Arial"/>
          <w:lang w:val="en-US" w:eastAsia="zh-CN"/>
        </w:rPr>
        <w:fldChar w:fldCharType="end"/>
      </w:r>
      <w:r w:rsidRPr="00606178">
        <w:rPr>
          <w:rFonts w:ascii="Arial" w:hAnsi="Arial"/>
          <w:lang w:val="en-US" w:eastAsia="zh-CN"/>
        </w:rPr>
        <w:t xml:space="preserve"> specifies the following detailed objectives concerning mobility: </w:t>
      </w:r>
    </w:p>
    <w:p w14:paraId="3EE5B40E" w14:textId="77882997" w:rsidR="00606178" w:rsidRPr="00C571D4" w:rsidRDefault="00606178" w:rsidP="00606178">
      <w:pPr>
        <w:pStyle w:val="Doc-text"/>
        <w:numPr>
          <w:ilvl w:val="0"/>
          <w:numId w:val="30"/>
        </w:numPr>
        <w:rPr>
          <w:lang w:val="en-US"/>
        </w:rPr>
      </w:pPr>
      <w:r w:rsidRPr="00C571D4">
        <w:rPr>
          <w:rFonts w:eastAsia="Times New Roman" w:cs="Times New Roman"/>
          <w:szCs w:val="20"/>
          <w:lang w:val="en-US"/>
        </w:rPr>
        <w:t xml:space="preserve">Mobility: For non-standalone NR-U deployments, connected mode mobility is supported on licensed spectrum using the baseline mobility procedure specified for the concerned licensed radio access technology (LTE or NR). For standalone NR-U deployments, specify mechanisms for inter-cell handover between NR-U and NR-U, inter-cell handover between NR-U and NR, and Inter-RAT handover between NR-U and LTE (connected to either EPC of 5GC). </w:t>
      </w:r>
    </w:p>
    <w:p w14:paraId="7A3C5F6D" w14:textId="656B915D" w:rsidR="00AB2CCC" w:rsidRPr="00C571D4" w:rsidRDefault="00AB2CCC" w:rsidP="00606178">
      <w:pPr>
        <w:pStyle w:val="Doc-text"/>
        <w:rPr>
          <w:lang w:val="en-US"/>
        </w:rPr>
      </w:pPr>
      <w:r w:rsidRPr="00C571D4">
        <w:rPr>
          <w:lang w:val="en-US"/>
        </w:rPr>
        <w:t xml:space="preserve">According to the </w:t>
      </w:r>
      <w:r w:rsidR="00FC0C16" w:rsidRPr="00C571D4">
        <w:rPr>
          <w:lang w:val="en-US"/>
        </w:rPr>
        <w:t xml:space="preserve">agenda for RAN2#107, general mobility aspects in RRC_CONNECTED mode should be addressed, </w:t>
      </w:r>
      <w:r w:rsidR="00606178" w:rsidRPr="00C571D4">
        <w:rPr>
          <w:lang w:val="en-US"/>
        </w:rPr>
        <w:t>in more detail,</w:t>
      </w:r>
      <w:r w:rsidR="00FC0C16" w:rsidRPr="00C571D4">
        <w:rPr>
          <w:lang w:val="en-US"/>
        </w:rPr>
        <w:t xml:space="preserve"> how to find and identify NR-U target cell(s).</w:t>
      </w:r>
    </w:p>
    <w:p w14:paraId="41A3F55C" w14:textId="4C9F2D7D" w:rsidR="00D75481" w:rsidRPr="00C571D4" w:rsidRDefault="00FC0C16" w:rsidP="00D75481">
      <w:pPr>
        <w:pStyle w:val="Doc-text"/>
        <w:rPr>
          <w:lang w:val="en-US"/>
        </w:rPr>
      </w:pPr>
      <w:r w:rsidRPr="00C571D4">
        <w:rPr>
          <w:lang w:val="en-US"/>
        </w:rPr>
        <w:t>In this contribution, we discuss potential issues and possible solutions to address these issues.</w:t>
      </w:r>
    </w:p>
    <w:p w14:paraId="4A08A922" w14:textId="77777777" w:rsidR="00D75481" w:rsidRPr="00C571D4" w:rsidRDefault="00D75481" w:rsidP="00D75481">
      <w:pPr>
        <w:pStyle w:val="Heading1"/>
        <w:tabs>
          <w:tab w:val="num" w:pos="432"/>
        </w:tabs>
        <w:ind w:left="432" w:hanging="432"/>
        <w:rPr>
          <w:lang w:val="en-US"/>
        </w:rPr>
      </w:pPr>
      <w:bookmarkStart w:id="2" w:name="_Ref178064866"/>
      <w:bookmarkStart w:id="3" w:name="_Toc4419350"/>
      <w:r w:rsidRPr="00C571D4">
        <w:rPr>
          <w:lang w:val="en-US"/>
        </w:rPr>
        <w:t>Discussion</w:t>
      </w:r>
      <w:bookmarkEnd w:id="2"/>
      <w:bookmarkEnd w:id="3"/>
    </w:p>
    <w:p w14:paraId="494D479B" w14:textId="766E045E" w:rsidR="00D75481" w:rsidRDefault="00606178" w:rsidP="00D75481">
      <w:pPr>
        <w:pStyle w:val="Doc-text"/>
        <w:rPr>
          <w:lang w:val="en-US"/>
        </w:rPr>
      </w:pPr>
      <w:r w:rsidRPr="00C571D4">
        <w:rPr>
          <w:lang w:val="en-US" w:eastAsia="x-none"/>
        </w:rPr>
        <w:t xml:space="preserve">In unlicensed spectrum, multiple PLMNs from different operators can share the same channel. </w:t>
      </w:r>
      <w:r w:rsidR="00D75481" w:rsidRPr="00C571D4">
        <w:rPr>
          <w:lang w:val="en-US"/>
        </w:rPr>
        <w:t xml:space="preserve">In order to </w:t>
      </w:r>
      <w:r w:rsidR="0009675A" w:rsidRPr="00C571D4">
        <w:rPr>
          <w:lang w:val="en-US"/>
        </w:rPr>
        <w:t xml:space="preserve">help a </w:t>
      </w:r>
      <w:proofErr w:type="gramStart"/>
      <w:r w:rsidR="0009675A" w:rsidRPr="00C571D4">
        <w:rPr>
          <w:lang w:val="en-US"/>
        </w:rPr>
        <w:t>UE</w:t>
      </w:r>
      <w:proofErr w:type="gramEnd"/>
      <w:r w:rsidR="0009675A" w:rsidRPr="00C571D4">
        <w:rPr>
          <w:lang w:val="en-US"/>
        </w:rPr>
        <w:t xml:space="preserve"> find NR-U target cell(s) for handover and </w:t>
      </w:r>
      <w:r w:rsidR="00D75481" w:rsidRPr="00C571D4">
        <w:rPr>
          <w:lang w:val="en-US"/>
        </w:rPr>
        <w:t xml:space="preserve">avoid that the UE performs measurements on cells that do not belong to the UE’s registered/equivalent PLMNs and </w:t>
      </w:r>
      <w:r w:rsidR="0009675A" w:rsidRPr="00C571D4">
        <w:rPr>
          <w:lang w:val="en-US"/>
        </w:rPr>
        <w:t xml:space="preserve">thus, </w:t>
      </w:r>
      <w:r w:rsidR="00D75481" w:rsidRPr="00C571D4">
        <w:rPr>
          <w:lang w:val="en-US"/>
        </w:rPr>
        <w:t>minimize power consumption</w:t>
      </w:r>
      <w:r w:rsidR="0009675A" w:rsidRPr="00C571D4">
        <w:rPr>
          <w:lang w:val="en-US"/>
        </w:rPr>
        <w:t>, NR Rel-15 already offers different options.</w:t>
      </w:r>
    </w:p>
    <w:p w14:paraId="570A0941" w14:textId="12C47E1F" w:rsidR="00D27866" w:rsidRDefault="00C571D4" w:rsidP="00D27866">
      <w:pPr>
        <w:pStyle w:val="Doc-text"/>
        <w:rPr>
          <w:lang w:eastAsia="x-none"/>
        </w:rPr>
      </w:pPr>
      <w:r>
        <w:rPr>
          <w:lang w:val="en-US"/>
        </w:rPr>
        <w:t xml:space="preserve">As described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_Ref16769130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C6381"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, </w:t>
      </w:r>
      <w:r w:rsidR="00D27866">
        <w:rPr>
          <w:lang w:val="en-US"/>
        </w:rPr>
        <w:t>“</w:t>
      </w:r>
      <w:proofErr w:type="spellStart"/>
      <w:r w:rsidR="00D27866" w:rsidRPr="00C64ECB">
        <w:rPr>
          <w:lang w:eastAsia="x-none"/>
        </w:rPr>
        <w:t>gNBs</w:t>
      </w:r>
      <w:proofErr w:type="spellEnd"/>
      <w:r w:rsidR="00D27866" w:rsidRPr="00C64ECB">
        <w:rPr>
          <w:lang w:eastAsia="x-none"/>
        </w:rPr>
        <w:t xml:space="preserve"> can scan different frequencies to identify the PCIs of neighbour cells and use this information in setting the PCIs of their own cells </w:t>
      </w:r>
      <w:proofErr w:type="gramStart"/>
      <w:r w:rsidR="00D27866" w:rsidRPr="00C64ECB">
        <w:rPr>
          <w:lang w:eastAsia="x-none"/>
        </w:rPr>
        <w:t>in order to</w:t>
      </w:r>
      <w:proofErr w:type="gramEnd"/>
      <w:r w:rsidR="00D27866" w:rsidRPr="00C64ECB">
        <w:rPr>
          <w:lang w:eastAsia="x-none"/>
        </w:rPr>
        <w:t xml:space="preserve"> avoid PCI collisions</w:t>
      </w:r>
      <w:r w:rsidR="00D27866">
        <w:rPr>
          <w:lang w:eastAsia="x-none"/>
        </w:rPr>
        <w:t xml:space="preserve">”. As a result, the </w:t>
      </w:r>
      <w:proofErr w:type="spellStart"/>
      <w:r w:rsidR="00D27866">
        <w:rPr>
          <w:lang w:eastAsia="x-none"/>
        </w:rPr>
        <w:t>gNB</w:t>
      </w:r>
      <w:proofErr w:type="spellEnd"/>
      <w:r w:rsidR="00D27866">
        <w:rPr>
          <w:lang w:eastAsia="x-none"/>
        </w:rPr>
        <w:t xml:space="preserve"> may know if the area is dominated by its own cells or not.</w:t>
      </w:r>
    </w:p>
    <w:p w14:paraId="456A0187" w14:textId="10AC41A4" w:rsidR="0009675A" w:rsidRDefault="00D27866" w:rsidP="00D27866">
      <w:pPr>
        <w:pStyle w:val="Doc-text"/>
        <w:rPr>
          <w:lang w:val="en-US"/>
        </w:rPr>
      </w:pPr>
      <w:r>
        <w:rPr>
          <w:lang w:eastAsia="x-none"/>
        </w:rPr>
        <w:t xml:space="preserve">Under the assumption </w:t>
      </w:r>
      <w:r w:rsidR="0009675A" w:rsidRPr="00C571D4">
        <w:rPr>
          <w:lang w:val="en-US"/>
        </w:rPr>
        <w:t xml:space="preserve">that most neighboring cells on certain frequencies </w:t>
      </w:r>
      <w:r w:rsidR="00C571D4">
        <w:rPr>
          <w:lang w:val="en-US"/>
        </w:rPr>
        <w:t>belong to the same or equivalent PLMN as the UE’s registered PLMN</w:t>
      </w:r>
      <w:r>
        <w:rPr>
          <w:lang w:val="en-US"/>
        </w:rPr>
        <w:t xml:space="preserve">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has the possibility to provide in the measurement object configuration a list of blacklisted cells to achieve extensive measurements on neighboring cells.</w:t>
      </w:r>
    </w:p>
    <w:p w14:paraId="34C0DF60" w14:textId="651E6CDC" w:rsidR="00D75481" w:rsidRDefault="00D27866" w:rsidP="00D75481">
      <w:pPr>
        <w:pStyle w:val="Doc-text"/>
        <w:rPr>
          <w:lang w:val="en-US"/>
        </w:rPr>
      </w:pPr>
      <w:r>
        <w:rPr>
          <w:lang w:val="en-US"/>
        </w:rPr>
        <w:t xml:space="preserve">On the other hand, if many cells are deployed by other operators, or even by the same operator,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may choose to limit the number of cells to measure on by proper whitelist configuration. </w:t>
      </w:r>
      <w:r w:rsidR="00D75481" w:rsidRPr="00C571D4">
        <w:rPr>
          <w:lang w:val="en-US"/>
        </w:rPr>
        <w:t xml:space="preserve"> </w:t>
      </w:r>
    </w:p>
    <w:p w14:paraId="5B432C68" w14:textId="77FED958" w:rsidR="00D27866" w:rsidRPr="00C571D4" w:rsidRDefault="00D27866" w:rsidP="00D75481">
      <w:pPr>
        <w:pStyle w:val="Doc-text"/>
        <w:rPr>
          <w:lang w:val="en-US"/>
        </w:rPr>
      </w:pPr>
      <w:r>
        <w:rPr>
          <w:lang w:val="en-US"/>
        </w:rPr>
        <w:t>The corresponding description for measurement configuration is provided in the annex.</w:t>
      </w:r>
    </w:p>
    <w:p w14:paraId="66462616" w14:textId="535A669E" w:rsidR="00D75481" w:rsidRDefault="00D75481" w:rsidP="00D75481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4" w:name="_Toc4419411"/>
      <w:bookmarkStart w:id="5" w:name="_Toc4707843"/>
      <w:bookmarkStart w:id="6" w:name="_Toc4711492"/>
      <w:bookmarkStart w:id="7" w:name="_Toc16007567"/>
      <w:bookmarkStart w:id="8" w:name="_Toc16770635"/>
      <w:r w:rsidRPr="00C571D4">
        <w:rPr>
          <w:lang w:val="en-US"/>
        </w:rPr>
        <w:t>The network can configure whitelists/blacklists to help the UE restrict measurements to cells that belong to the selected or equivalent PLMNs.</w:t>
      </w:r>
      <w:bookmarkEnd w:id="4"/>
      <w:bookmarkEnd w:id="5"/>
      <w:bookmarkEnd w:id="6"/>
      <w:bookmarkEnd w:id="7"/>
      <w:bookmarkEnd w:id="8"/>
    </w:p>
    <w:p w14:paraId="0F8884A3" w14:textId="3D0C4D46" w:rsidR="00077E5C" w:rsidRDefault="00077E5C" w:rsidP="00077E5C">
      <w:pPr>
        <w:pStyle w:val="Doc-text"/>
        <w:rPr>
          <w:lang w:val="en-US"/>
        </w:rPr>
      </w:pPr>
      <w:r>
        <w:rPr>
          <w:lang w:val="en-US"/>
        </w:rPr>
        <w:t xml:space="preserve">With PCI scanning, the probability of PCI collision/confusion should be low as also described in the companion paper for IDLE/INACTIVE mode mobility. However, in case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expects a higher risk, it has the possibility to identify whether the potential target cell belongs to the same or a “forbidden” PLMN by requesting a CGI report for this target cell from the UE.</w:t>
      </w:r>
    </w:p>
    <w:p w14:paraId="61AF4535" w14:textId="687D440B" w:rsidR="00077E5C" w:rsidRDefault="00077E5C" w:rsidP="00077E5C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9" w:name="_Toc16770636"/>
      <w:r>
        <w:rPr>
          <w:lang w:val="en-US"/>
        </w:rPr>
        <w:lastRenderedPageBreak/>
        <w:t xml:space="preserve">In order to identify an NR-U target cell,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can request the UE to report the CGI for that target cell.</w:t>
      </w:r>
      <w:bookmarkEnd w:id="9"/>
    </w:p>
    <w:p w14:paraId="1BFD5B96" w14:textId="5151F4FF" w:rsidR="00077E5C" w:rsidRDefault="00077E5C" w:rsidP="00077E5C">
      <w:pPr>
        <w:pStyle w:val="Doc-text"/>
        <w:rPr>
          <w:lang w:val="en-US"/>
        </w:rPr>
      </w:pPr>
      <w:r>
        <w:rPr>
          <w:lang w:val="en-US"/>
        </w:rPr>
        <w:t>As a result, no further mechanisms are needed to</w:t>
      </w:r>
      <w:r w:rsidR="0075080C">
        <w:rPr>
          <w:lang w:val="en-US"/>
        </w:rPr>
        <w:t xml:space="preserve"> help the UE</w:t>
      </w:r>
      <w:r>
        <w:rPr>
          <w:lang w:val="en-US"/>
        </w:rPr>
        <w:t xml:space="preserve"> </w:t>
      </w:r>
      <w:r w:rsidRPr="00C571D4">
        <w:rPr>
          <w:lang w:val="en-US"/>
        </w:rPr>
        <w:t>find and identify NR-U target cell</w:t>
      </w:r>
      <w:r>
        <w:rPr>
          <w:lang w:val="en-US"/>
        </w:rPr>
        <w:t>(s).</w:t>
      </w:r>
    </w:p>
    <w:p w14:paraId="7E0B65B4" w14:textId="63690795" w:rsidR="00077E5C" w:rsidRPr="005C22A8" w:rsidRDefault="005C22A8" w:rsidP="00077E5C">
      <w:pPr>
        <w:pStyle w:val="Proposal"/>
        <w:rPr>
          <w:lang w:val="en-US"/>
        </w:rPr>
      </w:pPr>
      <w:bookmarkStart w:id="10" w:name="_Toc16593736"/>
      <w:bookmarkStart w:id="11" w:name="_Toc16770638"/>
      <w:r>
        <w:rPr>
          <w:lang w:val="en-US"/>
        </w:rPr>
        <w:t xml:space="preserve">Whitelist/Blacklist configuration and CGI reports can be used to </w:t>
      </w:r>
      <w:r>
        <w:t>help the UE find and identify NR-U target cells</w:t>
      </w:r>
      <w:bookmarkEnd w:id="10"/>
      <w:r>
        <w:t>, such that no additional mechanisms need to be introduced.</w:t>
      </w:r>
      <w:bookmarkEnd w:id="11"/>
    </w:p>
    <w:p w14:paraId="6F6709A8" w14:textId="634975AA" w:rsidR="00C01F33" w:rsidRPr="00C571D4" w:rsidRDefault="00B409E0" w:rsidP="00CE0424">
      <w:pPr>
        <w:pStyle w:val="Heading1"/>
        <w:rPr>
          <w:lang w:val="en-US"/>
        </w:rPr>
      </w:pPr>
      <w:r w:rsidRPr="00C571D4">
        <w:rPr>
          <w:lang w:val="en-US"/>
        </w:rPr>
        <w:t>3</w:t>
      </w:r>
      <w:bookmarkEnd w:id="0"/>
      <w:r w:rsidR="00EC4447" w:rsidRPr="00C571D4">
        <w:rPr>
          <w:lang w:val="en-US"/>
        </w:rPr>
        <w:tab/>
      </w:r>
      <w:r w:rsidR="00C01F33" w:rsidRPr="00C571D4">
        <w:rPr>
          <w:lang w:val="en-US"/>
        </w:rPr>
        <w:t>Conclusion</w:t>
      </w:r>
    </w:p>
    <w:p w14:paraId="5EEA712F" w14:textId="2BD20AFB" w:rsidR="008E065E" w:rsidRPr="00C571D4" w:rsidRDefault="008E065E" w:rsidP="008E065E">
      <w:pPr>
        <w:pStyle w:val="BodyText"/>
        <w:rPr>
          <w:b/>
          <w:bCs/>
          <w:lang w:val="en-US"/>
        </w:rPr>
      </w:pPr>
      <w:r w:rsidRPr="00C571D4">
        <w:rPr>
          <w:lang w:val="en-US"/>
        </w:rPr>
        <w:t xml:space="preserve">In </w:t>
      </w:r>
      <w:r w:rsidR="007729A2" w:rsidRPr="00C571D4">
        <w:rPr>
          <w:lang w:val="en-US"/>
        </w:rPr>
        <w:t xml:space="preserve">the previous </w:t>
      </w:r>
      <w:r w:rsidRPr="00C571D4">
        <w:rPr>
          <w:lang w:val="en-US"/>
        </w:rPr>
        <w:t>section</w:t>
      </w:r>
      <w:r w:rsidR="007729A2" w:rsidRPr="00C571D4">
        <w:rPr>
          <w:lang w:val="en-US"/>
        </w:rPr>
        <w:t>s</w:t>
      </w:r>
      <w:r w:rsidRPr="00C571D4">
        <w:rPr>
          <w:lang w:val="en-US"/>
        </w:rPr>
        <w:t xml:space="preserve"> we made the following observations:</w:t>
      </w:r>
      <w:r w:rsidR="00C93814" w:rsidRPr="00C571D4">
        <w:rPr>
          <w:b/>
          <w:bCs/>
          <w:lang w:val="en-US"/>
        </w:rPr>
        <w:t xml:space="preserve"> </w:t>
      </w:r>
    </w:p>
    <w:p w14:paraId="4B01887B" w14:textId="77777777" w:rsidR="005C22A8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C571D4">
        <w:rPr>
          <w:b w:val="0"/>
          <w:bCs/>
          <w:lang w:val="en-US"/>
        </w:rPr>
        <w:fldChar w:fldCharType="begin"/>
      </w:r>
      <w:r w:rsidRPr="00C571D4">
        <w:rPr>
          <w:b w:val="0"/>
          <w:bCs/>
          <w:lang w:val="en-US"/>
        </w:rPr>
        <w:instrText xml:space="preserve"> TOC \f O \n \h \z \t "Observation" \c </w:instrText>
      </w:r>
      <w:r w:rsidRPr="00C571D4">
        <w:rPr>
          <w:b w:val="0"/>
          <w:bCs/>
          <w:lang w:val="en-US"/>
        </w:rPr>
        <w:fldChar w:fldCharType="separate"/>
      </w:r>
      <w:hyperlink w:anchor="_Toc16770635" w:history="1">
        <w:r w:rsidR="005C22A8" w:rsidRPr="00F12F97">
          <w:rPr>
            <w:rStyle w:val="Hyperlink"/>
            <w:noProof/>
            <w:lang w:val="en-US"/>
          </w:rPr>
          <w:t>Observation 1</w:t>
        </w:r>
        <w:r w:rsidR="005C22A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5C22A8" w:rsidRPr="00F12F97">
          <w:rPr>
            <w:rStyle w:val="Hyperlink"/>
            <w:noProof/>
            <w:lang w:val="en-US"/>
          </w:rPr>
          <w:t>The network can configure whitelists/blacklists to help the UE restrict measurements to cells that belong to the selected or equivalent PLMNs.</w:t>
        </w:r>
      </w:hyperlink>
    </w:p>
    <w:p w14:paraId="14DDB180" w14:textId="77777777" w:rsidR="005C22A8" w:rsidRDefault="0077245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6770636" w:history="1">
        <w:r w:rsidR="005C22A8" w:rsidRPr="00F12F97">
          <w:rPr>
            <w:rStyle w:val="Hyperlink"/>
            <w:noProof/>
            <w:lang w:val="en-US"/>
          </w:rPr>
          <w:t>Observation 2</w:t>
        </w:r>
        <w:r w:rsidR="005C22A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5C22A8" w:rsidRPr="00F12F97">
          <w:rPr>
            <w:rStyle w:val="Hyperlink"/>
            <w:noProof/>
            <w:lang w:val="en-US"/>
          </w:rPr>
          <w:t>In order to identify an NR-U target cell, the gNB can request the UE to report the CGI for that target cell.</w:t>
        </w:r>
      </w:hyperlink>
    </w:p>
    <w:p w14:paraId="0EAF9913" w14:textId="0C0F88D8" w:rsidR="00A72146" w:rsidRPr="00C571D4" w:rsidRDefault="006F6582" w:rsidP="0065371C">
      <w:pPr>
        <w:pStyle w:val="Clarification"/>
        <w:numPr>
          <w:ilvl w:val="0"/>
          <w:numId w:val="0"/>
        </w:numPr>
        <w:rPr>
          <w:b w:val="0"/>
          <w:lang w:val="en-US"/>
        </w:rPr>
      </w:pPr>
      <w:r w:rsidRPr="00C571D4">
        <w:rPr>
          <w:b w:val="0"/>
          <w:bCs w:val="0"/>
          <w:lang w:val="en-US"/>
        </w:rPr>
        <w:fldChar w:fldCharType="end"/>
      </w:r>
    </w:p>
    <w:p w14:paraId="1DB23EB9" w14:textId="75586F1D" w:rsidR="006E1C82" w:rsidRPr="00C571D4" w:rsidRDefault="008E065E" w:rsidP="006E1C82">
      <w:pPr>
        <w:pStyle w:val="BodyText"/>
        <w:rPr>
          <w:lang w:val="en-US"/>
        </w:rPr>
      </w:pPr>
      <w:r w:rsidRPr="00C571D4">
        <w:rPr>
          <w:lang w:val="en-US"/>
        </w:rPr>
        <w:t xml:space="preserve">Based on the discussion in </w:t>
      </w:r>
      <w:r w:rsidR="007729A2" w:rsidRPr="00C571D4">
        <w:rPr>
          <w:lang w:val="en-US"/>
        </w:rPr>
        <w:t xml:space="preserve">the previous </w:t>
      </w:r>
      <w:r w:rsidRPr="00C571D4">
        <w:rPr>
          <w:lang w:val="en-US"/>
        </w:rPr>
        <w:t>section</w:t>
      </w:r>
      <w:r w:rsidR="007729A2" w:rsidRPr="00C571D4">
        <w:rPr>
          <w:lang w:val="en-US"/>
        </w:rPr>
        <w:t>s</w:t>
      </w:r>
      <w:r w:rsidRPr="00C571D4">
        <w:rPr>
          <w:lang w:val="en-US"/>
        </w:rPr>
        <w:t xml:space="preserve"> we propose the following:</w:t>
      </w:r>
    </w:p>
    <w:p w14:paraId="5F817096" w14:textId="0BED670D" w:rsidR="00C01F33" w:rsidRPr="00C571D4" w:rsidRDefault="006E1C82" w:rsidP="005C22A8">
      <w:pPr>
        <w:pStyle w:val="TableofFigures"/>
        <w:tabs>
          <w:tab w:val="right" w:leader="dot" w:pos="9629"/>
        </w:tabs>
        <w:rPr>
          <w:lang w:val="en-US"/>
        </w:rPr>
      </w:pPr>
      <w:r w:rsidRPr="00C571D4">
        <w:rPr>
          <w:b w:val="0"/>
          <w:bCs/>
          <w:lang w:val="en-US"/>
        </w:rPr>
        <w:fldChar w:fldCharType="begin"/>
      </w:r>
      <w:r w:rsidRPr="00C571D4">
        <w:rPr>
          <w:b w:val="0"/>
          <w:bCs/>
          <w:lang w:val="en-US"/>
        </w:rPr>
        <w:instrText xml:space="preserve"> TOC \n \h \z \t "Proposal" \c </w:instrText>
      </w:r>
      <w:r w:rsidRPr="00C571D4">
        <w:rPr>
          <w:b w:val="0"/>
          <w:bCs/>
          <w:lang w:val="en-US"/>
        </w:rPr>
        <w:fldChar w:fldCharType="separate"/>
      </w:r>
      <w:hyperlink w:anchor="_Toc16770638" w:history="1">
        <w:r w:rsidR="005C22A8" w:rsidRPr="002D3701">
          <w:rPr>
            <w:rStyle w:val="Hyperlink"/>
            <w:noProof/>
            <w:lang w:val="en-US"/>
          </w:rPr>
          <w:t>Proposal 1</w:t>
        </w:r>
        <w:r w:rsidR="005C22A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5C22A8" w:rsidRPr="002D3701">
          <w:rPr>
            <w:rStyle w:val="Hyperlink"/>
            <w:noProof/>
            <w:lang w:val="en-US"/>
          </w:rPr>
          <w:t xml:space="preserve">Whitelist/Blacklist configuration and CGI reports can be used to </w:t>
        </w:r>
        <w:r w:rsidR="005C22A8" w:rsidRPr="002D3701">
          <w:rPr>
            <w:rStyle w:val="Hyperlink"/>
            <w:noProof/>
          </w:rPr>
          <w:t>help the UE find and identify NR-U target cells, such that no additional mechanisms need to be introduced.</w:t>
        </w:r>
      </w:hyperlink>
      <w:r w:rsidRPr="00C571D4">
        <w:rPr>
          <w:b w:val="0"/>
          <w:bCs/>
          <w:lang w:val="en-US"/>
        </w:rPr>
        <w:fldChar w:fldCharType="end"/>
      </w:r>
    </w:p>
    <w:p w14:paraId="03C90E27" w14:textId="23AC208A" w:rsidR="00F507D1" w:rsidRPr="00C571D4" w:rsidRDefault="00A002F4" w:rsidP="00CE0424">
      <w:pPr>
        <w:pStyle w:val="Heading1"/>
        <w:rPr>
          <w:lang w:val="en-US"/>
        </w:rPr>
      </w:pPr>
      <w:bookmarkStart w:id="12" w:name="_In-sequence_SDU_delivery"/>
      <w:bookmarkEnd w:id="12"/>
      <w:r w:rsidRPr="00C571D4">
        <w:rPr>
          <w:lang w:val="en-US"/>
        </w:rPr>
        <w:t>4</w:t>
      </w:r>
      <w:r w:rsidR="00EC4447" w:rsidRPr="00C571D4">
        <w:rPr>
          <w:lang w:val="en-US"/>
        </w:rPr>
        <w:tab/>
      </w:r>
      <w:r w:rsidR="00F507D1" w:rsidRPr="00C571D4">
        <w:rPr>
          <w:lang w:val="en-US"/>
        </w:rPr>
        <w:t>References</w:t>
      </w:r>
    </w:p>
    <w:p w14:paraId="63CE24CE" w14:textId="5C1F6429" w:rsidR="0009675A" w:rsidRPr="00C571D4" w:rsidRDefault="0009675A" w:rsidP="0009675A">
      <w:pPr>
        <w:pStyle w:val="Reference"/>
        <w:rPr>
          <w:rFonts w:cs="Arial"/>
          <w:lang w:val="en-US"/>
        </w:rPr>
      </w:pPr>
      <w:bookmarkStart w:id="13" w:name="_Ref4399189"/>
      <w:bookmarkStart w:id="14" w:name="_Ref4398856"/>
      <w:bookmarkStart w:id="15" w:name="_Ref513478584"/>
      <w:r w:rsidRPr="00C571D4">
        <w:rPr>
          <w:rFonts w:cs="Arial"/>
          <w:lang w:val="en-US"/>
        </w:rPr>
        <w:t>RP-190706, “Revised WID on NR-based Access to Unlicensed Spectrum”, 3GPP</w:t>
      </w:r>
      <w:bookmarkEnd w:id="13"/>
      <w:r w:rsidRPr="00C571D4">
        <w:rPr>
          <w:rFonts w:cs="Arial"/>
          <w:lang w:val="en-US"/>
        </w:rPr>
        <w:t>, RAN#83</w:t>
      </w:r>
    </w:p>
    <w:p w14:paraId="197DD1A7" w14:textId="289666A5" w:rsidR="008E57DB" w:rsidRDefault="008E57DB" w:rsidP="0009675A">
      <w:pPr>
        <w:pStyle w:val="Reference"/>
        <w:rPr>
          <w:rFonts w:cs="Arial"/>
          <w:lang w:val="en-US"/>
        </w:rPr>
      </w:pPr>
      <w:bookmarkStart w:id="16" w:name="_Ref16769130"/>
      <w:r w:rsidRPr="00C571D4">
        <w:rPr>
          <w:rFonts w:cs="Arial"/>
          <w:lang w:val="en-US"/>
        </w:rPr>
        <w:t xml:space="preserve">3GPP TR 38.889 V16.0.0, “Study on NR-based Access to Unlicensed Spectrum”, </w:t>
      </w:r>
      <w:bookmarkEnd w:id="14"/>
      <w:r w:rsidRPr="00C571D4">
        <w:rPr>
          <w:rFonts w:cs="Arial"/>
          <w:lang w:val="en-US"/>
        </w:rPr>
        <w:t>2018-12</w:t>
      </w:r>
      <w:bookmarkEnd w:id="15"/>
      <w:bookmarkEnd w:id="16"/>
    </w:p>
    <w:p w14:paraId="2CEC8502" w14:textId="09607DE1" w:rsidR="00077E5C" w:rsidRPr="00077E5C" w:rsidRDefault="007312F6" w:rsidP="0009675A">
      <w:pPr>
        <w:pStyle w:val="Reference"/>
        <w:rPr>
          <w:rFonts w:cs="Arial"/>
          <w:lang w:val="en-US"/>
        </w:rPr>
      </w:pPr>
      <w:r w:rsidRPr="007312F6">
        <w:rPr>
          <w:rFonts w:cs="Arial"/>
          <w:lang w:val="en-US"/>
        </w:rPr>
        <w:t>R2-1909357</w:t>
      </w:r>
      <w:r w:rsidR="00077E5C" w:rsidRPr="00077E5C">
        <w:rPr>
          <w:rFonts w:cs="Arial"/>
          <w:lang w:val="en-US"/>
        </w:rPr>
        <w:t>, “Managing PCI collisions in NR-U”, Ericsson, RAN2#107</w:t>
      </w:r>
    </w:p>
    <w:p w14:paraId="662DC12D" w14:textId="004F6548" w:rsidR="00D27866" w:rsidRDefault="00D27866" w:rsidP="00D27866">
      <w:pPr>
        <w:pStyle w:val="Heading1"/>
        <w:rPr>
          <w:lang w:val="en-US"/>
        </w:rPr>
      </w:pPr>
      <w:r>
        <w:rPr>
          <w:lang w:val="en-US"/>
        </w:rPr>
        <w:t>Annex</w:t>
      </w:r>
    </w:p>
    <w:p w14:paraId="704150FA" w14:textId="676B4003" w:rsidR="00D27866" w:rsidRDefault="00D27866" w:rsidP="00D27866">
      <w:pPr>
        <w:pStyle w:val="Reference"/>
        <w:numPr>
          <w:ilvl w:val="0"/>
          <w:numId w:val="0"/>
        </w:numPr>
        <w:ind w:left="567" w:hanging="567"/>
        <w:rPr>
          <w:rFonts w:cs="Arial"/>
          <w:lang w:val="en-US"/>
        </w:rPr>
      </w:pPr>
      <w:r>
        <w:rPr>
          <w:rFonts w:cs="Arial"/>
          <w:lang w:val="en-US"/>
        </w:rPr>
        <w:t xml:space="preserve">From TS 38.331, Section </w:t>
      </w:r>
      <w:r w:rsidRPr="00AB1A0A">
        <w:t>5.5.1</w:t>
      </w:r>
      <w:r>
        <w:t>:</w:t>
      </w:r>
    </w:p>
    <w:p w14:paraId="30248749" w14:textId="77777777" w:rsidR="00D27866" w:rsidRPr="00AB1A0A" w:rsidRDefault="00D27866" w:rsidP="00D27866">
      <w:r w:rsidRPr="00AB1A0A">
        <w:t>The measurement configuration includes the following parameters:</w:t>
      </w:r>
    </w:p>
    <w:p w14:paraId="0466D4D7" w14:textId="77777777" w:rsidR="00D27866" w:rsidRPr="00AB1A0A" w:rsidRDefault="00D27866" w:rsidP="00D27866">
      <w:pPr>
        <w:pStyle w:val="B1"/>
      </w:pPr>
      <w:r w:rsidRPr="00AB1A0A">
        <w:rPr>
          <w:b/>
        </w:rPr>
        <w:t>1.</w:t>
      </w:r>
      <w:r w:rsidRPr="00AB1A0A">
        <w:rPr>
          <w:b/>
        </w:rPr>
        <w:tab/>
        <w:t>Measurement objects:</w:t>
      </w:r>
      <w:r w:rsidRPr="00AB1A0A">
        <w:t xml:space="preserve"> A list of objects on which the UE shall perform the measurements.</w:t>
      </w:r>
    </w:p>
    <w:p w14:paraId="77FFDCFF" w14:textId="77777777" w:rsidR="00D27866" w:rsidRPr="00AB1A0A" w:rsidRDefault="00D27866" w:rsidP="00D27866">
      <w:pPr>
        <w:pStyle w:val="B2"/>
      </w:pPr>
      <w:r w:rsidRPr="00AB1A0A">
        <w:t>-</w:t>
      </w:r>
      <w:r w:rsidRPr="00AB1A0A">
        <w:tab/>
        <w:t xml:space="preserve">For intra-frequency and inter-frequency measurements a measurement object indicates the frequency/time location and subcarrier spacing of reference signals to be measured. Associated with this measurement object, the network may configure a list of cell specific offsets, a list of </w:t>
      </w:r>
      <w:r w:rsidRPr="00D27866">
        <w:rPr>
          <w:b/>
        </w:rPr>
        <w:t>'blacklisted'</w:t>
      </w:r>
      <w:r w:rsidRPr="00AB1A0A">
        <w:t xml:space="preserve"> cells and a list of </w:t>
      </w:r>
      <w:r w:rsidRPr="00D27866">
        <w:rPr>
          <w:b/>
        </w:rPr>
        <w:t>'whitelisted'</w:t>
      </w:r>
      <w:r w:rsidRPr="00AB1A0A">
        <w:t xml:space="preserve"> cells. Blacklisted cells are not applicable in event evaluation or measurement reporting. Whitelisted cells are the only ones applicable in event evaluation or measurement reporting.</w:t>
      </w:r>
    </w:p>
    <w:p w14:paraId="25B75D82" w14:textId="77777777" w:rsidR="00D27866" w:rsidRPr="00D27866" w:rsidRDefault="00D27866" w:rsidP="00D27866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  <w:bookmarkStart w:id="17" w:name="_GoBack"/>
      <w:bookmarkEnd w:id="17"/>
    </w:p>
    <w:sectPr w:rsidR="00D27866" w:rsidRPr="00D27866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38480" w14:textId="77777777" w:rsidR="00772450" w:rsidRDefault="00772450">
      <w:r>
        <w:separator/>
      </w:r>
    </w:p>
  </w:endnote>
  <w:endnote w:type="continuationSeparator" w:id="0">
    <w:p w14:paraId="2646A893" w14:textId="77777777" w:rsidR="00772450" w:rsidRDefault="00772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CA64F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7B090" w14:textId="77777777" w:rsidR="00772450" w:rsidRDefault="00772450">
      <w:r>
        <w:separator/>
      </w:r>
    </w:p>
  </w:footnote>
  <w:footnote w:type="continuationSeparator" w:id="0">
    <w:p w14:paraId="375DAA98" w14:textId="77777777" w:rsidR="00772450" w:rsidRDefault="00772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C8FDE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687871"/>
    <w:multiLevelType w:val="hybridMultilevel"/>
    <w:tmpl w:val="FB62A31A"/>
    <w:lvl w:ilvl="0" w:tplc="87846F1A">
      <w:start w:val="1"/>
      <w:numFmt w:val="decimal"/>
      <w:pStyle w:val="Clarification"/>
      <w:lvlText w:val="Clarification %1"/>
      <w:lvlJc w:val="left"/>
      <w:pPr>
        <w:ind w:left="2419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3139" w:hanging="360"/>
      </w:pPr>
    </w:lvl>
    <w:lvl w:ilvl="2" w:tplc="1000001B" w:tentative="1">
      <w:start w:val="1"/>
      <w:numFmt w:val="lowerRoman"/>
      <w:lvlText w:val="%3."/>
      <w:lvlJc w:val="right"/>
      <w:pPr>
        <w:ind w:left="3859" w:hanging="180"/>
      </w:pPr>
    </w:lvl>
    <w:lvl w:ilvl="3" w:tplc="1000000F" w:tentative="1">
      <w:start w:val="1"/>
      <w:numFmt w:val="decimal"/>
      <w:lvlText w:val="%4."/>
      <w:lvlJc w:val="left"/>
      <w:pPr>
        <w:ind w:left="4579" w:hanging="360"/>
      </w:pPr>
    </w:lvl>
    <w:lvl w:ilvl="4" w:tplc="10000019" w:tentative="1">
      <w:start w:val="1"/>
      <w:numFmt w:val="lowerLetter"/>
      <w:lvlText w:val="%5."/>
      <w:lvlJc w:val="left"/>
      <w:pPr>
        <w:ind w:left="5299" w:hanging="360"/>
      </w:pPr>
    </w:lvl>
    <w:lvl w:ilvl="5" w:tplc="1000001B" w:tentative="1">
      <w:start w:val="1"/>
      <w:numFmt w:val="lowerRoman"/>
      <w:lvlText w:val="%6."/>
      <w:lvlJc w:val="right"/>
      <w:pPr>
        <w:ind w:left="6019" w:hanging="180"/>
      </w:pPr>
    </w:lvl>
    <w:lvl w:ilvl="6" w:tplc="1000000F" w:tentative="1">
      <w:start w:val="1"/>
      <w:numFmt w:val="decimal"/>
      <w:lvlText w:val="%7."/>
      <w:lvlJc w:val="left"/>
      <w:pPr>
        <w:ind w:left="6739" w:hanging="360"/>
      </w:pPr>
    </w:lvl>
    <w:lvl w:ilvl="7" w:tplc="10000019" w:tentative="1">
      <w:start w:val="1"/>
      <w:numFmt w:val="lowerLetter"/>
      <w:lvlText w:val="%8."/>
      <w:lvlJc w:val="left"/>
      <w:pPr>
        <w:ind w:left="7459" w:hanging="360"/>
      </w:pPr>
    </w:lvl>
    <w:lvl w:ilvl="8" w:tplc="1000001B" w:tentative="1">
      <w:start w:val="1"/>
      <w:numFmt w:val="lowerRoman"/>
      <w:lvlText w:val="%9."/>
      <w:lvlJc w:val="right"/>
      <w:pPr>
        <w:ind w:left="8179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731676A"/>
    <w:multiLevelType w:val="hybridMultilevel"/>
    <w:tmpl w:val="EABCE3A6"/>
    <w:lvl w:ilvl="0" w:tplc="EAEE7230">
      <w:start w:val="1"/>
      <w:numFmt w:val="decimal"/>
      <w:lvlText w:val="Clarification %1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91671"/>
    <w:multiLevelType w:val="hybridMultilevel"/>
    <w:tmpl w:val="404632D2"/>
    <w:lvl w:ilvl="0" w:tplc="22DCB042">
      <w:start w:val="1"/>
      <w:numFmt w:val="decimal"/>
      <w:lvlText w:val="Clarification %1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1B4984"/>
    <w:multiLevelType w:val="hybridMultilevel"/>
    <w:tmpl w:val="D5F477D4"/>
    <w:lvl w:ilvl="0" w:tplc="4B4878B2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F26C76"/>
    <w:multiLevelType w:val="hybridMultilevel"/>
    <w:tmpl w:val="B9568E9A"/>
    <w:lvl w:ilvl="0" w:tplc="65504B0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2826708"/>
    <w:multiLevelType w:val="hybridMultilevel"/>
    <w:tmpl w:val="E8FA5BB4"/>
    <w:lvl w:ilvl="0" w:tplc="5FA83F76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836D87"/>
    <w:multiLevelType w:val="hybridMultilevel"/>
    <w:tmpl w:val="4170B932"/>
    <w:lvl w:ilvl="0" w:tplc="42089A3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B723F9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8E0B1E0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78E10E6">
      <w:start w:val="183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B8856C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E0B2B5D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26A4F5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9CA6D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FAEA9D3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0146DC0"/>
    <w:multiLevelType w:val="hybridMultilevel"/>
    <w:tmpl w:val="154A0712"/>
    <w:lvl w:ilvl="0" w:tplc="76DE91D8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3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8"/>
  </w:num>
  <w:num w:numId="16">
    <w:abstractNumId w:val="24"/>
  </w:num>
  <w:num w:numId="17">
    <w:abstractNumId w:val="8"/>
  </w:num>
  <w:num w:numId="18">
    <w:abstractNumId w:val="10"/>
  </w:num>
  <w:num w:numId="19">
    <w:abstractNumId w:val="5"/>
  </w:num>
  <w:num w:numId="20">
    <w:abstractNumId w:val="29"/>
  </w:num>
  <w:num w:numId="21">
    <w:abstractNumId w:val="15"/>
  </w:num>
  <w:num w:numId="22">
    <w:abstractNumId w:val="27"/>
  </w:num>
  <w:num w:numId="23">
    <w:abstractNumId w:val="6"/>
  </w:num>
  <w:num w:numId="24">
    <w:abstractNumId w:val="28"/>
  </w:num>
  <w:num w:numId="25">
    <w:abstractNumId w:val="26"/>
  </w:num>
  <w:num w:numId="26">
    <w:abstractNumId w:val="12"/>
  </w:num>
  <w:num w:numId="27">
    <w:abstractNumId w:val="9"/>
  </w:num>
  <w:num w:numId="28">
    <w:abstractNumId w:val="7"/>
  </w:num>
  <w:num w:numId="29">
    <w:abstractNumId w:val="4"/>
  </w:num>
  <w:num w:numId="30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C19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75A"/>
    <w:rsid w:val="000A1B7B"/>
    <w:rsid w:val="000A56F2"/>
    <w:rsid w:val="000B2719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47CB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6CB8"/>
    <w:rsid w:val="00207FA3"/>
    <w:rsid w:val="00214DA8"/>
    <w:rsid w:val="00215423"/>
    <w:rsid w:val="002158FA"/>
    <w:rsid w:val="0021785C"/>
    <w:rsid w:val="00220600"/>
    <w:rsid w:val="00220A68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6CEC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5185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48E2"/>
    <w:rsid w:val="002C06AD"/>
    <w:rsid w:val="002C41E6"/>
    <w:rsid w:val="002D071A"/>
    <w:rsid w:val="002D34B2"/>
    <w:rsid w:val="002D48B0"/>
    <w:rsid w:val="002D5B37"/>
    <w:rsid w:val="002D7637"/>
    <w:rsid w:val="002E17F2"/>
    <w:rsid w:val="002E4850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00C5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2787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67DF2"/>
    <w:rsid w:val="00467E68"/>
    <w:rsid w:val="00470C31"/>
    <w:rsid w:val="00471DE0"/>
    <w:rsid w:val="004734D0"/>
    <w:rsid w:val="0047556B"/>
    <w:rsid w:val="00477768"/>
    <w:rsid w:val="00492BC5"/>
    <w:rsid w:val="00493847"/>
    <w:rsid w:val="004964F1"/>
    <w:rsid w:val="004A16BC"/>
    <w:rsid w:val="004A2B94"/>
    <w:rsid w:val="004B3466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619A"/>
    <w:rsid w:val="004E76F4"/>
    <w:rsid w:val="004F0B4E"/>
    <w:rsid w:val="004F0B6C"/>
    <w:rsid w:val="004F2078"/>
    <w:rsid w:val="004F4DA3"/>
    <w:rsid w:val="004F6C76"/>
    <w:rsid w:val="004F718D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51CE"/>
    <w:rsid w:val="005B6F83"/>
    <w:rsid w:val="005C22A8"/>
    <w:rsid w:val="005C2DC8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06178"/>
    <w:rsid w:val="00611B83"/>
    <w:rsid w:val="00613257"/>
    <w:rsid w:val="00620A71"/>
    <w:rsid w:val="00620D80"/>
    <w:rsid w:val="00622736"/>
    <w:rsid w:val="006234A6"/>
    <w:rsid w:val="00623EE4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5A9"/>
    <w:rsid w:val="00650AB9"/>
    <w:rsid w:val="0065371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385"/>
    <w:rsid w:val="006C03B8"/>
    <w:rsid w:val="006C5EC9"/>
    <w:rsid w:val="006C6059"/>
    <w:rsid w:val="006C7522"/>
    <w:rsid w:val="006D5F0C"/>
    <w:rsid w:val="006D6F08"/>
    <w:rsid w:val="006E062C"/>
    <w:rsid w:val="006E1420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721"/>
    <w:rsid w:val="00723B3E"/>
    <w:rsid w:val="007257D0"/>
    <w:rsid w:val="00726EA6"/>
    <w:rsid w:val="00727208"/>
    <w:rsid w:val="00727680"/>
    <w:rsid w:val="007312F6"/>
    <w:rsid w:val="007348B1"/>
    <w:rsid w:val="007362A6"/>
    <w:rsid w:val="00736D7D"/>
    <w:rsid w:val="00740E58"/>
    <w:rsid w:val="007445A0"/>
    <w:rsid w:val="0074524B"/>
    <w:rsid w:val="00747D8B"/>
    <w:rsid w:val="0075080C"/>
    <w:rsid w:val="00751228"/>
    <w:rsid w:val="007571E1"/>
    <w:rsid w:val="00757A16"/>
    <w:rsid w:val="007604B2"/>
    <w:rsid w:val="00765281"/>
    <w:rsid w:val="00766BAD"/>
    <w:rsid w:val="00771EBD"/>
    <w:rsid w:val="00772450"/>
    <w:rsid w:val="007729A2"/>
    <w:rsid w:val="00772FB8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28"/>
    <w:rsid w:val="00827D6F"/>
    <w:rsid w:val="008376AC"/>
    <w:rsid w:val="00842C1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1E10"/>
    <w:rsid w:val="00874312"/>
    <w:rsid w:val="0087437C"/>
    <w:rsid w:val="00875CD7"/>
    <w:rsid w:val="00876B4D"/>
    <w:rsid w:val="00877F18"/>
    <w:rsid w:val="00881255"/>
    <w:rsid w:val="008941E3"/>
    <w:rsid w:val="00894A88"/>
    <w:rsid w:val="00895386"/>
    <w:rsid w:val="008A21FF"/>
    <w:rsid w:val="008A2905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A34"/>
    <w:rsid w:val="008D6D1A"/>
    <w:rsid w:val="008E065E"/>
    <w:rsid w:val="008E0927"/>
    <w:rsid w:val="008E1909"/>
    <w:rsid w:val="008E57DB"/>
    <w:rsid w:val="008F1EAB"/>
    <w:rsid w:val="008F33DC"/>
    <w:rsid w:val="008F477F"/>
    <w:rsid w:val="00902350"/>
    <w:rsid w:val="0090336B"/>
    <w:rsid w:val="009053AA"/>
    <w:rsid w:val="00906939"/>
    <w:rsid w:val="009103C6"/>
    <w:rsid w:val="00910B7D"/>
    <w:rsid w:val="00910E80"/>
    <w:rsid w:val="00911DFB"/>
    <w:rsid w:val="009139D9"/>
    <w:rsid w:val="00914AD8"/>
    <w:rsid w:val="00916079"/>
    <w:rsid w:val="00917CE9"/>
    <w:rsid w:val="00920BF2"/>
    <w:rsid w:val="00922010"/>
    <w:rsid w:val="00930068"/>
    <w:rsid w:val="00931BD9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357"/>
    <w:rsid w:val="009F5C78"/>
    <w:rsid w:val="00A002F4"/>
    <w:rsid w:val="00A031D8"/>
    <w:rsid w:val="00A048A8"/>
    <w:rsid w:val="00A04F49"/>
    <w:rsid w:val="00A0630B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2146"/>
    <w:rsid w:val="00A739D0"/>
    <w:rsid w:val="00A761D4"/>
    <w:rsid w:val="00A77EC4"/>
    <w:rsid w:val="00A87EDB"/>
    <w:rsid w:val="00A92879"/>
    <w:rsid w:val="00A9442A"/>
    <w:rsid w:val="00A97345"/>
    <w:rsid w:val="00AA016F"/>
    <w:rsid w:val="00AA1ED6"/>
    <w:rsid w:val="00AA51D6"/>
    <w:rsid w:val="00AA5359"/>
    <w:rsid w:val="00AB0BC8"/>
    <w:rsid w:val="00AB11CA"/>
    <w:rsid w:val="00AB14D9"/>
    <w:rsid w:val="00AB2CCC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E640C"/>
    <w:rsid w:val="00AF1C5D"/>
    <w:rsid w:val="00AF42D7"/>
    <w:rsid w:val="00B006FE"/>
    <w:rsid w:val="00B007CB"/>
    <w:rsid w:val="00B02AA9"/>
    <w:rsid w:val="00B02FA3"/>
    <w:rsid w:val="00B05084"/>
    <w:rsid w:val="00B1281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0567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D7B"/>
    <w:rsid w:val="00C015F1"/>
    <w:rsid w:val="00C01F33"/>
    <w:rsid w:val="00C02CC6"/>
    <w:rsid w:val="00C03A5F"/>
    <w:rsid w:val="00C040F7"/>
    <w:rsid w:val="00C044AB"/>
    <w:rsid w:val="00C05706"/>
    <w:rsid w:val="00C07377"/>
    <w:rsid w:val="00C10478"/>
    <w:rsid w:val="00C12107"/>
    <w:rsid w:val="00C14D4B"/>
    <w:rsid w:val="00C154BB"/>
    <w:rsid w:val="00C20772"/>
    <w:rsid w:val="00C279B5"/>
    <w:rsid w:val="00C27C45"/>
    <w:rsid w:val="00C32484"/>
    <w:rsid w:val="00C340F4"/>
    <w:rsid w:val="00C3719D"/>
    <w:rsid w:val="00C37CB2"/>
    <w:rsid w:val="00C473A5"/>
    <w:rsid w:val="00C54995"/>
    <w:rsid w:val="00C54D41"/>
    <w:rsid w:val="00C571D4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23CB"/>
    <w:rsid w:val="00C9027A"/>
    <w:rsid w:val="00C9068E"/>
    <w:rsid w:val="00C92F6B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7866"/>
    <w:rsid w:val="00D36E71"/>
    <w:rsid w:val="00D37D87"/>
    <w:rsid w:val="00D40B33"/>
    <w:rsid w:val="00D41999"/>
    <w:rsid w:val="00D4318F"/>
    <w:rsid w:val="00D438BF"/>
    <w:rsid w:val="00D440F8"/>
    <w:rsid w:val="00D4580A"/>
    <w:rsid w:val="00D546FF"/>
    <w:rsid w:val="00D55AD5"/>
    <w:rsid w:val="00D576CA"/>
    <w:rsid w:val="00D61AF5"/>
    <w:rsid w:val="00D652B5"/>
    <w:rsid w:val="00D66155"/>
    <w:rsid w:val="00D708B0"/>
    <w:rsid w:val="00D75481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16E"/>
    <w:rsid w:val="00E936DE"/>
    <w:rsid w:val="00E93FFE"/>
    <w:rsid w:val="00E94F8A"/>
    <w:rsid w:val="00EA7A41"/>
    <w:rsid w:val="00EB077B"/>
    <w:rsid w:val="00EB4EA2"/>
    <w:rsid w:val="00EC24D5"/>
    <w:rsid w:val="00EC27C6"/>
    <w:rsid w:val="00EC4207"/>
    <w:rsid w:val="00EC4447"/>
    <w:rsid w:val="00EC5653"/>
    <w:rsid w:val="00EC6381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222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9B4"/>
    <w:rsid w:val="00FA2BB3"/>
    <w:rsid w:val="00FA613F"/>
    <w:rsid w:val="00FB4C80"/>
    <w:rsid w:val="00FB6A6A"/>
    <w:rsid w:val="00FC0C16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1AF99E"/>
  <w15:chartTrackingRefBased/>
  <w15:docId w15:val="{9DD6066B-8A8C-45CD-9D73-67C59568C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D5F0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6D5F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D5F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D5F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D5F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D5F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D5F0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D5F0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D5F0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D5F0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D5F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5F0C"/>
  </w:style>
  <w:style w:type="paragraph" w:styleId="TOC8">
    <w:name w:val="toc 8"/>
    <w:basedOn w:val="TOC1"/>
    <w:uiPriority w:val="39"/>
    <w:rsid w:val="006D5F0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D5F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6D5F0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D5F0C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6D5F0C"/>
    <w:pPr>
      <w:ind w:left="1701" w:hanging="1701"/>
    </w:pPr>
  </w:style>
  <w:style w:type="paragraph" w:styleId="TOC4">
    <w:name w:val="toc 4"/>
    <w:basedOn w:val="TOC3"/>
    <w:uiPriority w:val="39"/>
    <w:rsid w:val="006D5F0C"/>
    <w:pPr>
      <w:ind w:left="1418" w:hanging="1418"/>
    </w:pPr>
  </w:style>
  <w:style w:type="paragraph" w:styleId="TOC3">
    <w:name w:val="toc 3"/>
    <w:basedOn w:val="TOC2"/>
    <w:uiPriority w:val="39"/>
    <w:rsid w:val="006D5F0C"/>
    <w:pPr>
      <w:ind w:left="1134" w:hanging="1134"/>
    </w:pPr>
  </w:style>
  <w:style w:type="paragraph" w:styleId="TOC2">
    <w:name w:val="toc 2"/>
    <w:basedOn w:val="TOC1"/>
    <w:uiPriority w:val="39"/>
    <w:rsid w:val="006D5F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6D5F0C"/>
    <w:pPr>
      <w:ind w:left="284"/>
    </w:pPr>
  </w:style>
  <w:style w:type="paragraph" w:styleId="Index1">
    <w:name w:val="index 1"/>
    <w:basedOn w:val="Normal"/>
    <w:rsid w:val="006D5F0C"/>
    <w:pPr>
      <w:keepLines/>
      <w:spacing w:after="0"/>
    </w:pPr>
  </w:style>
  <w:style w:type="paragraph" w:styleId="DocumentMap">
    <w:name w:val="Document Map"/>
    <w:basedOn w:val="Normal"/>
    <w:link w:val="DocumentMapChar"/>
    <w:rsid w:val="006D5F0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D5F0C"/>
    <w:pPr>
      <w:numPr>
        <w:numId w:val="22"/>
      </w:numPr>
    </w:pPr>
  </w:style>
  <w:style w:type="paragraph" w:styleId="ListNumber">
    <w:name w:val="List Number"/>
    <w:basedOn w:val="List"/>
    <w:rsid w:val="006D5F0C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6D5F0C"/>
    <w:pPr>
      <w:ind w:left="568" w:hanging="284"/>
    </w:pPr>
  </w:style>
  <w:style w:type="paragraph" w:styleId="Header">
    <w:name w:val="header"/>
    <w:link w:val="HeaderChar"/>
    <w:rsid w:val="006D5F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6D5F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D5F0C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6D5F0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6D5F0C"/>
    <w:pPr>
      <w:ind w:left="1418" w:hanging="1418"/>
    </w:pPr>
  </w:style>
  <w:style w:type="paragraph" w:styleId="TOC6">
    <w:name w:val="toc 6"/>
    <w:basedOn w:val="TOC5"/>
    <w:next w:val="Normal"/>
    <w:uiPriority w:val="39"/>
    <w:rsid w:val="006D5F0C"/>
    <w:pPr>
      <w:ind w:left="1985" w:hanging="1985"/>
    </w:pPr>
  </w:style>
  <w:style w:type="paragraph" w:styleId="TOC7">
    <w:name w:val="toc 7"/>
    <w:basedOn w:val="TOC6"/>
    <w:next w:val="Normal"/>
    <w:uiPriority w:val="39"/>
    <w:rsid w:val="006D5F0C"/>
    <w:pPr>
      <w:ind w:left="2268" w:hanging="2268"/>
    </w:pPr>
  </w:style>
  <w:style w:type="paragraph" w:styleId="ListBullet2">
    <w:name w:val="List Bullet 2"/>
    <w:basedOn w:val="ListBullet"/>
    <w:rsid w:val="006D5F0C"/>
    <w:pPr>
      <w:numPr>
        <w:numId w:val="17"/>
      </w:numPr>
    </w:pPr>
  </w:style>
  <w:style w:type="paragraph" w:styleId="ListBullet">
    <w:name w:val="List Bullet"/>
    <w:basedOn w:val="List"/>
    <w:rsid w:val="006D5F0C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6D5F0C"/>
    <w:pPr>
      <w:numPr>
        <w:numId w:val="18"/>
      </w:numPr>
    </w:pPr>
  </w:style>
  <w:style w:type="paragraph" w:customStyle="1" w:styleId="EQ">
    <w:name w:val="EQ"/>
    <w:basedOn w:val="Normal"/>
    <w:next w:val="Normal"/>
    <w:rsid w:val="006D5F0C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6D5F0C"/>
    <w:pPr>
      <w:ind w:left="851"/>
    </w:pPr>
    <w:rPr>
      <w:lang w:eastAsia="ja-JP"/>
    </w:rPr>
  </w:style>
  <w:style w:type="paragraph" w:styleId="List3">
    <w:name w:val="List 3"/>
    <w:basedOn w:val="List2"/>
    <w:rsid w:val="006D5F0C"/>
    <w:pPr>
      <w:ind w:left="1135"/>
    </w:pPr>
  </w:style>
  <w:style w:type="paragraph" w:styleId="List4">
    <w:name w:val="List 4"/>
    <w:basedOn w:val="List3"/>
    <w:rsid w:val="006D5F0C"/>
    <w:pPr>
      <w:ind w:left="1418"/>
    </w:pPr>
  </w:style>
  <w:style w:type="paragraph" w:styleId="List5">
    <w:name w:val="List 5"/>
    <w:basedOn w:val="List4"/>
    <w:rsid w:val="006D5F0C"/>
    <w:pPr>
      <w:ind w:left="1702"/>
    </w:pPr>
  </w:style>
  <w:style w:type="paragraph" w:customStyle="1" w:styleId="EditorsNote">
    <w:name w:val="Editor's Note"/>
    <w:basedOn w:val="NO"/>
    <w:link w:val="EditorsNoteChar"/>
    <w:rsid w:val="006D5F0C"/>
    <w:rPr>
      <w:color w:val="FF0000"/>
      <w:lang w:val="x-none" w:eastAsia="x-none"/>
    </w:rPr>
  </w:style>
  <w:style w:type="paragraph" w:styleId="ListBullet4">
    <w:name w:val="List Bullet 4"/>
    <w:basedOn w:val="ListBullet3"/>
    <w:rsid w:val="006D5F0C"/>
    <w:pPr>
      <w:numPr>
        <w:numId w:val="19"/>
      </w:numPr>
    </w:pPr>
  </w:style>
  <w:style w:type="paragraph" w:styleId="ListBullet5">
    <w:name w:val="List Bullet 5"/>
    <w:basedOn w:val="ListBullet4"/>
    <w:rsid w:val="006D5F0C"/>
    <w:pPr>
      <w:numPr>
        <w:numId w:val="20"/>
      </w:numPr>
    </w:pPr>
  </w:style>
  <w:style w:type="paragraph" w:styleId="Footer">
    <w:name w:val="footer"/>
    <w:basedOn w:val="Header"/>
    <w:link w:val="FooterChar"/>
    <w:rsid w:val="006D5F0C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6D5F0C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6D5F0C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6D5F0C"/>
  </w:style>
  <w:style w:type="paragraph" w:styleId="BodyText">
    <w:name w:val="Body Text"/>
    <w:basedOn w:val="Normal"/>
    <w:link w:val="BodyTextChar"/>
    <w:rsid w:val="006D5F0C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6D5F0C"/>
    <w:rPr>
      <w:color w:val="0000FF"/>
      <w:u w:val="single"/>
    </w:rPr>
  </w:style>
  <w:style w:type="character" w:styleId="FollowedHyperlink">
    <w:name w:val="FollowedHyperlink"/>
    <w:unhideWhenUsed/>
    <w:rsid w:val="006D5F0C"/>
    <w:rPr>
      <w:color w:val="800080"/>
      <w:u w:val="single"/>
    </w:rPr>
  </w:style>
  <w:style w:type="character" w:styleId="CommentReference">
    <w:name w:val="annotation reference"/>
    <w:uiPriority w:val="99"/>
    <w:qFormat/>
    <w:rsid w:val="006D5F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6D5F0C"/>
  </w:style>
  <w:style w:type="paragraph" w:styleId="CommentSubject">
    <w:name w:val="annotation subject"/>
    <w:basedOn w:val="CommentText"/>
    <w:next w:val="CommentText"/>
    <w:link w:val="CommentSubjectChar"/>
    <w:rsid w:val="006D5F0C"/>
    <w:rPr>
      <w:b/>
      <w:bCs/>
    </w:rPr>
  </w:style>
  <w:style w:type="character" w:customStyle="1" w:styleId="Heading1Char">
    <w:name w:val="Heading 1 Char"/>
    <w:link w:val="Heading1"/>
    <w:rsid w:val="006D5F0C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6D5F0C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6D5F0C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6D5F0C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6D5F0C"/>
    <w:rPr>
      <w:rFonts w:ascii="Times New Roman" w:hAnsi="Times New Roman"/>
    </w:rPr>
  </w:style>
  <w:style w:type="paragraph" w:customStyle="1" w:styleId="Proposal">
    <w:name w:val="Proposal"/>
    <w:basedOn w:val="BodyText"/>
    <w:rsid w:val="006D5F0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D5F0C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6D5F0C"/>
    <w:rPr>
      <w:rFonts w:ascii="Times New Roman" w:hAnsi="Times New Roman"/>
    </w:rPr>
  </w:style>
  <w:style w:type="paragraph" w:customStyle="1" w:styleId="EX">
    <w:name w:val="EX"/>
    <w:basedOn w:val="Normal"/>
    <w:rsid w:val="006D5F0C"/>
    <w:pPr>
      <w:keepLines/>
      <w:ind w:left="1702" w:hanging="1418"/>
    </w:pPr>
  </w:style>
  <w:style w:type="paragraph" w:customStyle="1" w:styleId="EW">
    <w:name w:val="EW"/>
    <w:basedOn w:val="EX"/>
    <w:rsid w:val="006D5F0C"/>
    <w:pPr>
      <w:spacing w:after="0"/>
    </w:pPr>
  </w:style>
  <w:style w:type="paragraph" w:customStyle="1" w:styleId="TAL">
    <w:name w:val="TAL"/>
    <w:basedOn w:val="Normal"/>
    <w:link w:val="TALCar"/>
    <w:rsid w:val="006D5F0C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6D5F0C"/>
    <w:pPr>
      <w:jc w:val="center"/>
    </w:pPr>
  </w:style>
  <w:style w:type="paragraph" w:customStyle="1" w:styleId="TAH">
    <w:name w:val="TAH"/>
    <w:basedOn w:val="TAC"/>
    <w:link w:val="TAHCar"/>
    <w:rsid w:val="006D5F0C"/>
    <w:rPr>
      <w:b/>
    </w:rPr>
  </w:style>
  <w:style w:type="paragraph" w:customStyle="1" w:styleId="TAN">
    <w:name w:val="TAN"/>
    <w:basedOn w:val="TAL"/>
    <w:rsid w:val="006D5F0C"/>
    <w:pPr>
      <w:ind w:left="851" w:hanging="851"/>
    </w:pPr>
  </w:style>
  <w:style w:type="paragraph" w:customStyle="1" w:styleId="TAR">
    <w:name w:val="TAR"/>
    <w:basedOn w:val="TAL"/>
    <w:rsid w:val="006D5F0C"/>
    <w:pPr>
      <w:jc w:val="right"/>
    </w:pPr>
  </w:style>
  <w:style w:type="paragraph" w:customStyle="1" w:styleId="TH">
    <w:name w:val="TH"/>
    <w:basedOn w:val="Normal"/>
    <w:link w:val="THChar"/>
    <w:rsid w:val="006D5F0C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6D5F0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D5F0C"/>
    <w:pPr>
      <w:outlineLvl w:val="9"/>
    </w:pPr>
  </w:style>
  <w:style w:type="paragraph" w:customStyle="1" w:styleId="ZA">
    <w:name w:val="ZA"/>
    <w:rsid w:val="006D5F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D5F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D5F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6D5F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6D5F0C"/>
  </w:style>
  <w:style w:type="paragraph" w:customStyle="1" w:styleId="ZH">
    <w:name w:val="ZH"/>
    <w:rsid w:val="006D5F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6D5F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6D5F0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D5F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D5F0C"/>
    <w:pPr>
      <w:framePr w:wrap="notBeside" w:y="16161"/>
    </w:pPr>
  </w:style>
  <w:style w:type="paragraph" w:customStyle="1" w:styleId="FP">
    <w:name w:val="FP"/>
    <w:basedOn w:val="Normal"/>
    <w:rsid w:val="006D5F0C"/>
    <w:pPr>
      <w:spacing w:after="0"/>
    </w:pPr>
  </w:style>
  <w:style w:type="paragraph" w:customStyle="1" w:styleId="Observation">
    <w:name w:val="Observation"/>
    <w:basedOn w:val="Proposal"/>
    <w:qFormat/>
    <w:rsid w:val="006D5F0C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D5F0C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6D5F0C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6D5F0C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D5F0C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6D5F0C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6D5F0C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6D5F0C"/>
    <w:pPr>
      <w:ind w:left="1985"/>
    </w:pPr>
  </w:style>
  <w:style w:type="character" w:customStyle="1" w:styleId="B6Char">
    <w:name w:val="B6 Char"/>
    <w:link w:val="B6"/>
    <w:rsid w:val="006D5F0C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6D5F0C"/>
    <w:pPr>
      <w:ind w:left="2269"/>
    </w:pPr>
  </w:style>
  <w:style w:type="character" w:customStyle="1" w:styleId="B7Char">
    <w:name w:val="B7 Char"/>
    <w:basedOn w:val="B6Char"/>
    <w:link w:val="B7"/>
    <w:rsid w:val="006D5F0C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6D5F0C"/>
    <w:pPr>
      <w:ind w:left="2552"/>
    </w:pPr>
  </w:style>
  <w:style w:type="character" w:customStyle="1" w:styleId="BalloonTextChar">
    <w:name w:val="Balloon Text Char"/>
    <w:link w:val="BalloonText"/>
    <w:rsid w:val="006D5F0C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6D5F0C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6D5F0C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6D5F0C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6D5F0C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6D5F0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6D5F0C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6D5F0C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6D5F0C"/>
    <w:pPr>
      <w:keepLines/>
      <w:ind w:left="1135" w:hanging="851"/>
    </w:pPr>
  </w:style>
  <w:style w:type="character" w:customStyle="1" w:styleId="NOChar">
    <w:name w:val="NO Char"/>
    <w:link w:val="NO"/>
    <w:qFormat/>
    <w:rsid w:val="006D5F0C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6D5F0C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6D5F0C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6D5F0C"/>
    <w:rPr>
      <w:i/>
      <w:iCs/>
    </w:rPr>
  </w:style>
  <w:style w:type="paragraph" w:customStyle="1" w:styleId="FigureTitle">
    <w:name w:val="Figure_Title"/>
    <w:basedOn w:val="Normal"/>
    <w:next w:val="Normal"/>
    <w:rsid w:val="006D5F0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6D5F0C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6D5F0C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6D5F0C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6D5F0C"/>
    <w:rPr>
      <w:i/>
      <w:color w:val="0000FF"/>
    </w:rPr>
  </w:style>
  <w:style w:type="character" w:customStyle="1" w:styleId="Heading2Char">
    <w:name w:val="Heading 2 Char"/>
    <w:link w:val="Heading2"/>
    <w:rsid w:val="006D5F0C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6D5F0C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6D5F0C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6D5F0C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6D5F0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D5F0C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6D5F0C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6D5F0C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6D5F0C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6D5F0C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6D5F0C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6D5F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6D5F0C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6D5F0C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6D5F0C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D5F0C"/>
    <w:pPr>
      <w:spacing w:after="0"/>
    </w:pPr>
  </w:style>
  <w:style w:type="paragraph" w:customStyle="1" w:styleId="PL">
    <w:name w:val="PL"/>
    <w:link w:val="PLChar"/>
    <w:qFormat/>
    <w:rsid w:val="006D5F0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5F0C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6D5F0C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6D5F0C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6D5F0C"/>
    <w:rPr>
      <w:b/>
      <w:bCs/>
    </w:rPr>
  </w:style>
  <w:style w:type="table" w:styleId="TableGrid">
    <w:name w:val="Table Grid"/>
    <w:basedOn w:val="TableNormal"/>
    <w:uiPriority w:val="39"/>
    <w:rsid w:val="006D5F0C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6D5F0C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6D5F0C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6D5F0C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6D5F0C"/>
  </w:style>
  <w:style w:type="paragraph" w:customStyle="1" w:styleId="TALCharChar">
    <w:name w:val="TAL Char Char"/>
    <w:basedOn w:val="Normal"/>
    <w:link w:val="TALCharCharChar"/>
    <w:rsid w:val="006D5F0C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6D5F0C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6D5F0C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6D5F0C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6D5F0C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6D5F0C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D5F0C"/>
    <w:rPr>
      <w:color w:val="808080"/>
      <w:shd w:val="clear" w:color="auto" w:fill="E6E6E6"/>
    </w:rPr>
  </w:style>
  <w:style w:type="paragraph" w:customStyle="1" w:styleId="Clarification">
    <w:name w:val="Clarification"/>
    <w:basedOn w:val="Proposal"/>
    <w:next w:val="Doc-text"/>
    <w:qFormat/>
    <w:rsid w:val="00493847"/>
    <w:pPr>
      <w:numPr>
        <w:numId w:val="29"/>
      </w:numPr>
      <w:ind w:left="1699" w:hanging="1699"/>
      <w:jc w:val="left"/>
    </w:pPr>
  </w:style>
  <w:style w:type="paragraph" w:customStyle="1" w:styleId="Agreement">
    <w:name w:val="Agreement"/>
    <w:basedOn w:val="Normal"/>
    <w:next w:val="Doc-text2"/>
    <w:rsid w:val="00C20772"/>
    <w:pPr>
      <w:numPr>
        <w:numId w:val="2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">
    <w:name w:val="Doc-text"/>
    <w:basedOn w:val="Normal"/>
    <w:qFormat/>
    <w:rsid w:val="00772FB8"/>
    <w:pPr>
      <w:overflowPunct/>
      <w:autoSpaceDE/>
      <w:autoSpaceDN/>
      <w:adjustRightInd/>
      <w:spacing w:after="160" w:line="259" w:lineRule="auto"/>
      <w:textAlignment w:val="auto"/>
    </w:pPr>
    <w:rPr>
      <w:rFonts w:ascii="Arial" w:eastAsiaTheme="minorHAnsi" w:hAnsi="Arial" w:cs="Arial"/>
      <w:szCs w:val="22"/>
      <w:lang w:eastAsia="zh-CN"/>
    </w:rPr>
  </w:style>
  <w:style w:type="character" w:customStyle="1" w:styleId="ReferenceChar">
    <w:name w:val="Reference Char"/>
    <w:link w:val="Reference"/>
    <w:locked/>
    <w:rsid w:val="008E57DB"/>
    <w:rPr>
      <w:rFonts w:ascii="Arial" w:hAnsi="Arial"/>
      <w:lang w:eastAsia="zh-CN"/>
    </w:rPr>
  </w:style>
  <w:style w:type="paragraph" w:customStyle="1" w:styleId="3GPP-citation">
    <w:name w:val="3GPP-citation"/>
    <w:basedOn w:val="Doc-text"/>
    <w:next w:val="Doc-text"/>
    <w:qFormat/>
    <w:rsid w:val="00881255"/>
    <w:pPr>
      <w:ind w:left="567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2/RAN2%20meetings/RAN2_107_Prague/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A32BCD-3BF8-4927-AB50-3CD98D85B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9AF53A1-D54F-4A89-A59C-8120F1371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R2-19xxxx%20Contribution%20Template</Template>
  <TotalTime>2</TotalTime>
  <Pages>2</Pages>
  <Words>780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4911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3</cp:revision>
  <cp:lastPrinted>2019-08-15T16:10:00Z</cp:lastPrinted>
  <dcterms:created xsi:type="dcterms:W3CDTF">2019-08-15T16:08:00Z</dcterms:created>
  <dcterms:modified xsi:type="dcterms:W3CDTF">2019-08-15T17:16:00Z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